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425"/>
        <w:gridCol w:w="8100"/>
      </w:tblGrid>
      <w:tr w:rsidR="00A03FF3" w:rsidRPr="00625B9C" w:rsidTr="007D12F6">
        <w:tc>
          <w:tcPr>
            <w:tcW w:w="2425" w:type="dxa"/>
            <w:tcBorders>
              <w:bottom w:val="nil"/>
              <w:right w:val="nil"/>
            </w:tcBorders>
            <w:shd w:val="clear" w:color="auto" w:fill="323E4F" w:themeFill="text2" w:themeFillShade="BF"/>
          </w:tcPr>
          <w:p w:rsidR="00A03FF3" w:rsidRDefault="00A03FF3">
            <w:pPr>
              <w:rPr>
                <w:rFonts w:ascii="Goudy Old Style" w:hAnsi="Goudy Old Style"/>
              </w:rPr>
            </w:pPr>
          </w:p>
          <w:p w:rsidR="00625B9C" w:rsidRDefault="00625B9C">
            <w:pPr>
              <w:rPr>
                <w:rFonts w:ascii="Goudy Old Style" w:hAnsi="Goudy Old Style"/>
              </w:rPr>
            </w:pPr>
          </w:p>
          <w:p w:rsidR="00DD2780" w:rsidRDefault="00DD2780">
            <w:pPr>
              <w:rPr>
                <w:rFonts w:ascii="Goudy Old Style" w:hAnsi="Goudy Old Style"/>
              </w:rPr>
            </w:pPr>
          </w:p>
          <w:p w:rsidR="00DD2780" w:rsidRDefault="00DD2780" w:rsidP="00625B9C">
            <w:pPr>
              <w:jc w:val="center"/>
              <w:rPr>
                <w:rFonts w:ascii="Goudy Old Style" w:hAnsi="Goudy Old Style"/>
              </w:rPr>
            </w:pPr>
          </w:p>
          <w:p w:rsidR="00625B9C" w:rsidRDefault="00625B9C" w:rsidP="00625B9C">
            <w:pPr>
              <w:jc w:val="center"/>
              <w:rPr>
                <w:rFonts w:ascii="Goudy Old Style" w:hAnsi="Goudy Old Style"/>
              </w:rPr>
            </w:pPr>
          </w:p>
          <w:p w:rsidR="003D5021" w:rsidRDefault="003D5021" w:rsidP="00625B9C">
            <w:pPr>
              <w:jc w:val="center"/>
              <w:rPr>
                <w:rFonts w:ascii="Goudy Old Style" w:hAnsi="Goudy Old Style"/>
              </w:rPr>
            </w:pPr>
            <w:r>
              <w:rPr>
                <w:noProof/>
              </w:rPr>
              <w:drawing>
                <wp:inline distT="0" distB="0" distL="0" distR="0">
                  <wp:extent cx="1335024" cy="1335024"/>
                  <wp:effectExtent l="0" t="0" r="0" b="0"/>
                  <wp:docPr id="2" name="Picture 2" descr="TimothySmi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mothySmi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024" cy="1335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021" w:rsidRDefault="003D5021" w:rsidP="00625B9C">
            <w:pPr>
              <w:jc w:val="center"/>
              <w:rPr>
                <w:rFonts w:ascii="Goudy Old Style" w:hAnsi="Goudy Old Style"/>
              </w:rPr>
            </w:pPr>
          </w:p>
          <w:p w:rsidR="003D5021" w:rsidRPr="00FC262C" w:rsidRDefault="003D5021" w:rsidP="00625B9C">
            <w:pPr>
              <w:jc w:val="center"/>
              <w:rPr>
                <w:rFonts w:ascii="Goudy Old Style" w:hAnsi="Goudy Old Style"/>
                <w:sz w:val="20"/>
              </w:rPr>
            </w:pPr>
            <w:r w:rsidRPr="00FC262C">
              <w:rPr>
                <w:rFonts w:ascii="Goudy Old Style" w:hAnsi="Goudy Old Style"/>
                <w:sz w:val="20"/>
              </w:rPr>
              <w:t>Timothy P. Smith</w:t>
            </w:r>
          </w:p>
          <w:p w:rsidR="003D5021" w:rsidRPr="00FC262C" w:rsidRDefault="003D5021" w:rsidP="00625B9C">
            <w:pPr>
              <w:jc w:val="center"/>
              <w:rPr>
                <w:rFonts w:ascii="Goudy Old Style" w:hAnsi="Goudy Old Style"/>
                <w:sz w:val="20"/>
              </w:rPr>
            </w:pPr>
            <w:r w:rsidRPr="00FC262C">
              <w:rPr>
                <w:rFonts w:ascii="Goudy Old Style" w:hAnsi="Goudy Old Style"/>
                <w:sz w:val="20"/>
              </w:rPr>
              <w:t>Shareholder</w:t>
            </w:r>
          </w:p>
          <w:p w:rsidR="003D5021" w:rsidRPr="00FC262C" w:rsidRDefault="003D5021" w:rsidP="00625B9C">
            <w:pPr>
              <w:jc w:val="center"/>
              <w:rPr>
                <w:rFonts w:ascii="Goudy Old Style" w:hAnsi="Goudy Old Style"/>
                <w:sz w:val="20"/>
              </w:rPr>
            </w:pPr>
            <w:r w:rsidRPr="00FC262C">
              <w:rPr>
                <w:rFonts w:ascii="Goudy Old Style" w:hAnsi="Goudy Old Style"/>
                <w:sz w:val="20"/>
              </w:rPr>
              <w:t>P:</w:t>
            </w:r>
            <w:r w:rsidR="0002544C">
              <w:rPr>
                <w:rFonts w:ascii="Goudy Old Style" w:hAnsi="Goudy Old Style"/>
                <w:sz w:val="20"/>
              </w:rPr>
              <w:t xml:space="preserve"> </w:t>
            </w:r>
            <w:r w:rsidRPr="00FC262C">
              <w:rPr>
                <w:rFonts w:ascii="Goudy Old Style" w:hAnsi="Goudy Old Style"/>
                <w:sz w:val="20"/>
              </w:rPr>
              <w:t xml:space="preserve"> (973) 957-2555</w:t>
            </w:r>
          </w:p>
          <w:p w:rsidR="003D5021" w:rsidRPr="00625B9C" w:rsidRDefault="004C3554" w:rsidP="00625B9C">
            <w:pPr>
              <w:jc w:val="center"/>
              <w:rPr>
                <w:rFonts w:ascii="Goudy Old Style" w:hAnsi="Goudy Old Style"/>
              </w:rPr>
            </w:pPr>
            <w:r w:rsidRPr="00FC262C">
              <w:rPr>
                <w:rFonts w:ascii="Goudy Old Style" w:hAnsi="Goudy Old Style"/>
                <w:sz w:val="20"/>
              </w:rPr>
              <w:t>tim.smith</w:t>
            </w:r>
            <w:r w:rsidR="003D5021" w:rsidRPr="00FC262C">
              <w:rPr>
                <w:rFonts w:ascii="Goudy Old Style" w:hAnsi="Goudy Old Style"/>
                <w:sz w:val="20"/>
              </w:rPr>
              <w:t>@klrw.law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D7F24" w:rsidRDefault="008D7F24" w:rsidP="00200CAE">
            <w:pPr>
              <w:spacing w:after="80"/>
              <w:ind w:left="158"/>
              <w:jc w:val="both"/>
              <w:rPr>
                <w:rFonts w:ascii="Goudy Old Style" w:hAnsi="Goudy Old Style"/>
                <w:b/>
                <w:sz w:val="20"/>
              </w:rPr>
            </w:pPr>
            <w:r w:rsidRPr="00440ABE">
              <w:rPr>
                <w:rFonts w:ascii="Goudy Old Style" w:hAnsi="Goudy Old Style"/>
                <w:b/>
                <w:sz w:val="20"/>
              </w:rPr>
              <w:t xml:space="preserve">New Jersey Supreme Court </w:t>
            </w:r>
            <w:r w:rsidR="00956FD4">
              <w:rPr>
                <w:rFonts w:ascii="Goudy Old Style" w:hAnsi="Goudy Old Style"/>
                <w:b/>
                <w:sz w:val="20"/>
              </w:rPr>
              <w:t xml:space="preserve">Rules </w:t>
            </w:r>
            <w:r w:rsidR="00AB705C">
              <w:rPr>
                <w:rFonts w:ascii="Goudy Old Style" w:hAnsi="Goudy Old Style"/>
                <w:b/>
                <w:sz w:val="20"/>
              </w:rPr>
              <w:t xml:space="preserve">that </w:t>
            </w:r>
            <w:r w:rsidR="00F73C97">
              <w:rPr>
                <w:rFonts w:ascii="Goudy Old Style" w:hAnsi="Goudy Old Style"/>
                <w:b/>
                <w:sz w:val="20"/>
              </w:rPr>
              <w:t xml:space="preserve">a post-loss </w:t>
            </w:r>
            <w:r w:rsidR="00AB705C">
              <w:rPr>
                <w:rFonts w:ascii="Goudy Old Style" w:hAnsi="Goudy Old Style"/>
                <w:b/>
                <w:sz w:val="20"/>
              </w:rPr>
              <w:t xml:space="preserve">assignment of </w:t>
            </w:r>
            <w:r w:rsidR="00F73C97">
              <w:rPr>
                <w:rFonts w:ascii="Goudy Old Style" w:hAnsi="Goudy Old Style"/>
                <w:b/>
                <w:sz w:val="20"/>
              </w:rPr>
              <w:t>coverage</w:t>
            </w:r>
            <w:r w:rsidR="00AB705C">
              <w:rPr>
                <w:rFonts w:ascii="Goudy Old Style" w:hAnsi="Goudy Old Style"/>
                <w:b/>
                <w:sz w:val="20"/>
              </w:rPr>
              <w:t xml:space="preserve"> rights is valid.</w:t>
            </w:r>
          </w:p>
          <w:p w:rsidR="00AB705C" w:rsidRDefault="00AB705C" w:rsidP="00200CAE">
            <w:pPr>
              <w:spacing w:after="80"/>
              <w:ind w:left="158"/>
              <w:jc w:val="both"/>
              <w:rPr>
                <w:rFonts w:ascii="Goudy Old Style" w:hAnsi="Goudy Old Style"/>
                <w:sz w:val="20"/>
              </w:rPr>
            </w:pPr>
            <w:r w:rsidRPr="00AB705C">
              <w:rPr>
                <w:rFonts w:ascii="Goudy Old Style" w:hAnsi="Goudy Old Style"/>
                <w:sz w:val="20"/>
              </w:rPr>
              <w:t>On February 1, 20</w:t>
            </w:r>
            <w:r>
              <w:rPr>
                <w:rFonts w:ascii="Goudy Old Style" w:hAnsi="Goudy Old Style"/>
                <w:sz w:val="20"/>
              </w:rPr>
              <w:t xml:space="preserve">17, the New Jersey Supreme Court issued its opinion in </w:t>
            </w:r>
            <w:r>
              <w:rPr>
                <w:rFonts w:ascii="Goudy Old Style" w:hAnsi="Goudy Old Style"/>
                <w:sz w:val="20"/>
                <w:u w:val="single"/>
              </w:rPr>
              <w:t xml:space="preserve">Givaudan Fragrances </w:t>
            </w:r>
            <w:r w:rsidR="00F301B1">
              <w:rPr>
                <w:rFonts w:ascii="Goudy Old Style" w:hAnsi="Goudy Old Style"/>
                <w:sz w:val="20"/>
                <w:u w:val="single"/>
              </w:rPr>
              <w:t>Corporation</w:t>
            </w:r>
            <w:r>
              <w:rPr>
                <w:rFonts w:ascii="Goudy Old Style" w:hAnsi="Goudy Old Style"/>
                <w:sz w:val="20"/>
                <w:u w:val="single"/>
              </w:rPr>
              <w:t xml:space="preserve"> v. Aetna Casualty &amp; Surety Co.</w:t>
            </w:r>
            <w:r>
              <w:rPr>
                <w:rFonts w:ascii="Goudy Old Style" w:hAnsi="Goudy Old Style"/>
                <w:sz w:val="20"/>
              </w:rPr>
              <w:t xml:space="preserve">, adopting a rule that </w:t>
            </w:r>
            <w:r w:rsidR="007E5373">
              <w:rPr>
                <w:rFonts w:ascii="Goudy Old Style" w:hAnsi="Goudy Old Style"/>
                <w:sz w:val="20"/>
              </w:rPr>
              <w:t>a</w:t>
            </w:r>
            <w:r>
              <w:rPr>
                <w:rFonts w:ascii="Goudy Old Style" w:hAnsi="Goudy Old Style"/>
                <w:sz w:val="20"/>
              </w:rPr>
              <w:t>n anti-assignment clause in a commercial general liability (</w:t>
            </w:r>
            <w:r w:rsidR="00977A99">
              <w:rPr>
                <w:rFonts w:ascii="Goudy Old Style" w:hAnsi="Goudy Old Style"/>
                <w:sz w:val="20"/>
              </w:rPr>
              <w:t>“</w:t>
            </w:r>
            <w:r>
              <w:rPr>
                <w:rFonts w:ascii="Goudy Old Style" w:hAnsi="Goudy Old Style"/>
                <w:sz w:val="20"/>
              </w:rPr>
              <w:t>CGL</w:t>
            </w:r>
            <w:r w:rsidR="00977A99">
              <w:rPr>
                <w:rFonts w:ascii="Goudy Old Style" w:hAnsi="Goudy Old Style"/>
                <w:sz w:val="20"/>
              </w:rPr>
              <w:t>”</w:t>
            </w:r>
            <w:r>
              <w:rPr>
                <w:rFonts w:ascii="Goudy Old Style" w:hAnsi="Goudy Old Style"/>
                <w:sz w:val="20"/>
              </w:rPr>
              <w:t xml:space="preserve">) policy does not prohibit the post-loss assignment of </w:t>
            </w:r>
            <w:r w:rsidR="009C5B59">
              <w:rPr>
                <w:rFonts w:ascii="Goudy Old Style" w:hAnsi="Goudy Old Style"/>
                <w:sz w:val="20"/>
              </w:rPr>
              <w:t xml:space="preserve">coverage for </w:t>
            </w:r>
            <w:r>
              <w:rPr>
                <w:rFonts w:ascii="Goudy Old Style" w:hAnsi="Goudy Old Style"/>
                <w:sz w:val="20"/>
              </w:rPr>
              <w:t>a claim from the insure</w:t>
            </w:r>
            <w:r w:rsidR="00F73C97">
              <w:rPr>
                <w:rFonts w:ascii="Goudy Old Style" w:hAnsi="Goudy Old Style"/>
                <w:sz w:val="20"/>
              </w:rPr>
              <w:t>d</w:t>
            </w:r>
            <w:r>
              <w:rPr>
                <w:rFonts w:ascii="Goudy Old Style" w:hAnsi="Goudy Old Style"/>
                <w:sz w:val="20"/>
              </w:rPr>
              <w:t xml:space="preserve"> to another entity, even when the loss has not been reduced to judgment.  The case expands the right of an insure</w:t>
            </w:r>
            <w:r w:rsidR="009C5B59">
              <w:rPr>
                <w:rFonts w:ascii="Goudy Old Style" w:hAnsi="Goudy Old Style"/>
                <w:sz w:val="20"/>
              </w:rPr>
              <w:t>d</w:t>
            </w:r>
            <w:r>
              <w:rPr>
                <w:rFonts w:ascii="Goudy Old Style" w:hAnsi="Goudy Old Style"/>
                <w:sz w:val="20"/>
              </w:rPr>
              <w:t xml:space="preserve"> to transfer certain coverage rights by ruling that damages need not be fixed </w:t>
            </w:r>
            <w:r w:rsidR="009C5B59">
              <w:rPr>
                <w:rFonts w:ascii="Goudy Old Style" w:hAnsi="Goudy Old Style"/>
                <w:sz w:val="20"/>
              </w:rPr>
              <w:t>as of the time of the assignment</w:t>
            </w:r>
            <w:r>
              <w:rPr>
                <w:rFonts w:ascii="Goudy Old Style" w:hAnsi="Goudy Old Style"/>
                <w:sz w:val="20"/>
              </w:rPr>
              <w:t>.</w:t>
            </w:r>
            <w:r w:rsidR="00C72017">
              <w:rPr>
                <w:rFonts w:ascii="Goudy Old Style" w:hAnsi="Goudy Old Style"/>
                <w:sz w:val="20"/>
              </w:rPr>
              <w:t xml:space="preserve">  Kinney Lisovicz</w:t>
            </w:r>
            <w:bookmarkStart w:id="0" w:name="_GoBack"/>
            <w:bookmarkEnd w:id="0"/>
            <w:r w:rsidR="00C72017">
              <w:rPr>
                <w:rFonts w:ascii="Goudy Old Style" w:hAnsi="Goudy Old Style"/>
                <w:sz w:val="20"/>
              </w:rPr>
              <w:t xml:space="preserve"> Reilly &amp; Wolff PC served as local counsel for one of the lead insurers in the case.</w:t>
            </w:r>
          </w:p>
          <w:p w:rsidR="00AB705C" w:rsidRDefault="00AB705C" w:rsidP="00200CAE">
            <w:pPr>
              <w:spacing w:after="80"/>
              <w:ind w:left="158"/>
              <w:jc w:val="both"/>
              <w:rPr>
                <w:rFonts w:ascii="Goudy Old Style" w:hAnsi="Goudy Old Style"/>
                <w:sz w:val="20"/>
              </w:rPr>
            </w:pPr>
            <w:r>
              <w:rPr>
                <w:rFonts w:ascii="Goudy Old Style" w:hAnsi="Goudy Old Style"/>
                <w:sz w:val="20"/>
              </w:rPr>
              <w:t xml:space="preserve">The case </w:t>
            </w:r>
            <w:r w:rsidR="00825197">
              <w:rPr>
                <w:rFonts w:ascii="Goudy Old Style" w:hAnsi="Goudy Old Style"/>
                <w:sz w:val="20"/>
              </w:rPr>
              <w:t>arises out of</w:t>
            </w:r>
            <w:r>
              <w:rPr>
                <w:rFonts w:ascii="Goudy Old Style" w:hAnsi="Goudy Old Style"/>
                <w:sz w:val="20"/>
              </w:rPr>
              <w:t xml:space="preserve"> claims </w:t>
            </w:r>
            <w:r w:rsidR="00825197">
              <w:rPr>
                <w:rFonts w:ascii="Goudy Old Style" w:hAnsi="Goudy Old Style"/>
                <w:sz w:val="20"/>
              </w:rPr>
              <w:t xml:space="preserve">for the </w:t>
            </w:r>
            <w:r>
              <w:rPr>
                <w:rFonts w:ascii="Goudy Old Style" w:hAnsi="Goudy Old Style"/>
                <w:sz w:val="20"/>
              </w:rPr>
              <w:t xml:space="preserve">environmental remediation of a site located in Clifton, New Jersey.  Various insurers issued </w:t>
            </w:r>
            <w:r w:rsidR="00E907A1">
              <w:rPr>
                <w:rFonts w:ascii="Goudy Old Style" w:hAnsi="Goudy Old Style"/>
                <w:sz w:val="20"/>
              </w:rPr>
              <w:t xml:space="preserve">CGL </w:t>
            </w:r>
            <w:r>
              <w:rPr>
                <w:rFonts w:ascii="Goudy Old Style" w:hAnsi="Goudy Old Style"/>
                <w:sz w:val="20"/>
              </w:rPr>
              <w:t>policies to “Givaudan Corporation.”  Following a corporate restructur</w:t>
            </w:r>
            <w:r w:rsidR="007E5373">
              <w:rPr>
                <w:rFonts w:ascii="Goudy Old Style" w:hAnsi="Goudy Old Style"/>
                <w:sz w:val="20"/>
              </w:rPr>
              <w:t>ing</w:t>
            </w:r>
            <w:r>
              <w:rPr>
                <w:rFonts w:ascii="Goudy Old Style" w:hAnsi="Goudy Old Style"/>
                <w:sz w:val="20"/>
              </w:rPr>
              <w:t>, Givaudan Corporation’s successor</w:t>
            </w:r>
            <w:r w:rsidR="00D27116">
              <w:rPr>
                <w:rFonts w:ascii="Goudy Old Style" w:hAnsi="Goudy Old Style"/>
                <w:sz w:val="20"/>
              </w:rPr>
              <w:t>-by-merger was</w:t>
            </w:r>
            <w:r>
              <w:rPr>
                <w:rFonts w:ascii="Goudy Old Style" w:hAnsi="Goudy Old Style"/>
                <w:sz w:val="20"/>
              </w:rPr>
              <w:t xml:space="preserve"> Givaudan Flavors Corporation</w:t>
            </w:r>
            <w:r w:rsidR="00E907A1">
              <w:rPr>
                <w:rFonts w:ascii="Goudy Old Style" w:hAnsi="Goudy Old Style"/>
                <w:sz w:val="20"/>
              </w:rPr>
              <w:t xml:space="preserve"> (“Flavors”)</w:t>
            </w:r>
            <w:r>
              <w:rPr>
                <w:rFonts w:ascii="Goudy Old Style" w:hAnsi="Goudy Old Style"/>
                <w:sz w:val="20"/>
              </w:rPr>
              <w:t xml:space="preserve">.  Givaudan Fragrances Corporation </w:t>
            </w:r>
            <w:r w:rsidR="00E907A1">
              <w:rPr>
                <w:rFonts w:ascii="Goudy Old Style" w:hAnsi="Goudy Old Style"/>
                <w:sz w:val="20"/>
              </w:rPr>
              <w:t xml:space="preserve">(“Fragrances”) </w:t>
            </w:r>
            <w:r>
              <w:rPr>
                <w:rFonts w:ascii="Goudy Old Style" w:hAnsi="Goudy Old Style"/>
                <w:sz w:val="20"/>
              </w:rPr>
              <w:t xml:space="preserve">was also created as a result of that corporate restructuring.  </w:t>
            </w:r>
            <w:r w:rsidR="00D27116">
              <w:rPr>
                <w:rFonts w:ascii="Goudy Old Style" w:hAnsi="Goudy Old Style"/>
                <w:sz w:val="20"/>
              </w:rPr>
              <w:t xml:space="preserve">Fragrances assumed liability for environmental clean-up, but explicitly disclaimed any rights to Givaudan’s insurance.  </w:t>
            </w:r>
            <w:r w:rsidR="00E907A1">
              <w:rPr>
                <w:rFonts w:ascii="Goudy Old Style" w:hAnsi="Goudy Old Style"/>
                <w:sz w:val="20"/>
              </w:rPr>
              <w:t xml:space="preserve">Fragrances </w:t>
            </w:r>
            <w:r>
              <w:rPr>
                <w:rFonts w:ascii="Goudy Old Style" w:hAnsi="Goudy Old Style"/>
                <w:sz w:val="20"/>
              </w:rPr>
              <w:t xml:space="preserve">was sued in connection with the Clifton remediation.  However, </w:t>
            </w:r>
            <w:r w:rsidR="00E907A1">
              <w:rPr>
                <w:rFonts w:ascii="Goudy Old Style" w:hAnsi="Goudy Old Style"/>
                <w:sz w:val="20"/>
              </w:rPr>
              <w:t xml:space="preserve">Flavors </w:t>
            </w:r>
            <w:r>
              <w:rPr>
                <w:rFonts w:ascii="Goudy Old Style" w:hAnsi="Goudy Old Style"/>
                <w:sz w:val="20"/>
              </w:rPr>
              <w:t xml:space="preserve">was not.  </w:t>
            </w:r>
            <w:r w:rsidR="00F301B1">
              <w:rPr>
                <w:rFonts w:ascii="Goudy Old Style" w:hAnsi="Goudy Old Style"/>
                <w:sz w:val="20"/>
              </w:rPr>
              <w:t>Fragrances</w:t>
            </w:r>
            <w:r w:rsidR="00D27116">
              <w:rPr>
                <w:rFonts w:ascii="Goudy Old Style" w:hAnsi="Goudy Old Style"/>
                <w:sz w:val="20"/>
              </w:rPr>
              <w:t xml:space="preserve"> then sued the insurers for coverage. </w:t>
            </w:r>
            <w:r w:rsidR="00286FC0">
              <w:rPr>
                <w:rFonts w:ascii="Goudy Old Style" w:hAnsi="Goudy Old Style"/>
                <w:sz w:val="20"/>
              </w:rPr>
              <w:t>Flavors</w:t>
            </w:r>
            <w:r w:rsidR="00297F62">
              <w:rPr>
                <w:rFonts w:ascii="Goudy Old Style" w:hAnsi="Goudy Old Style"/>
                <w:sz w:val="20"/>
              </w:rPr>
              <w:t xml:space="preserve"> unsuccessfully sought the insurers’ consent to assign its policy rights to </w:t>
            </w:r>
            <w:r w:rsidR="00286FC0">
              <w:rPr>
                <w:rFonts w:ascii="Goudy Old Style" w:hAnsi="Goudy Old Style"/>
                <w:sz w:val="20"/>
              </w:rPr>
              <w:t>Fragrances</w:t>
            </w:r>
            <w:r w:rsidR="00297F62">
              <w:rPr>
                <w:rFonts w:ascii="Goudy Old Style" w:hAnsi="Goudy Old Style"/>
                <w:sz w:val="20"/>
              </w:rPr>
              <w:t xml:space="preserve">.  </w:t>
            </w:r>
            <w:r>
              <w:rPr>
                <w:rFonts w:ascii="Goudy Old Style" w:hAnsi="Goudy Old Style"/>
                <w:sz w:val="20"/>
              </w:rPr>
              <w:t>Thereafter,</w:t>
            </w:r>
            <w:r w:rsidR="00000FD4">
              <w:rPr>
                <w:rFonts w:ascii="Goudy Old Style" w:hAnsi="Goudy Old Style"/>
                <w:sz w:val="20"/>
              </w:rPr>
              <w:t xml:space="preserve"> Flavors</w:t>
            </w:r>
            <w:r>
              <w:rPr>
                <w:rFonts w:ascii="Goudy Old Style" w:hAnsi="Goudy Old Style"/>
                <w:sz w:val="20"/>
              </w:rPr>
              <w:t xml:space="preserve"> entered into an agreement</w:t>
            </w:r>
            <w:r w:rsidR="00825197">
              <w:rPr>
                <w:rFonts w:ascii="Goudy Old Style" w:hAnsi="Goudy Old Style"/>
                <w:sz w:val="20"/>
              </w:rPr>
              <w:t xml:space="preserve"> with </w:t>
            </w:r>
            <w:r w:rsidR="00000FD4">
              <w:rPr>
                <w:rFonts w:ascii="Goudy Old Style" w:hAnsi="Goudy Old Style"/>
                <w:sz w:val="20"/>
              </w:rPr>
              <w:t xml:space="preserve">Fragrances </w:t>
            </w:r>
            <w:r>
              <w:rPr>
                <w:rFonts w:ascii="Goudy Old Style" w:hAnsi="Goudy Old Style"/>
                <w:sz w:val="20"/>
              </w:rPr>
              <w:t xml:space="preserve">to transfer rights to coverage of the remediation claims to </w:t>
            </w:r>
            <w:r w:rsidR="00000FD4">
              <w:rPr>
                <w:rFonts w:ascii="Goudy Old Style" w:hAnsi="Goudy Old Style"/>
                <w:sz w:val="20"/>
              </w:rPr>
              <w:t>Fragrances</w:t>
            </w:r>
            <w:r>
              <w:rPr>
                <w:rFonts w:ascii="Goudy Old Style" w:hAnsi="Goudy Old Style"/>
                <w:sz w:val="20"/>
              </w:rPr>
              <w:t xml:space="preserve">.  </w:t>
            </w:r>
            <w:r w:rsidR="00000FD4">
              <w:rPr>
                <w:rFonts w:ascii="Goudy Old Style" w:hAnsi="Goudy Old Style"/>
                <w:sz w:val="20"/>
              </w:rPr>
              <w:t>They</w:t>
            </w:r>
            <w:r>
              <w:rPr>
                <w:rFonts w:ascii="Goudy Old Style" w:hAnsi="Goudy Old Style"/>
                <w:sz w:val="20"/>
              </w:rPr>
              <w:t xml:space="preserve"> did so over the objection of the insurers.</w:t>
            </w:r>
          </w:p>
          <w:p w:rsidR="00AB705C" w:rsidRDefault="00AB705C" w:rsidP="00200CAE">
            <w:pPr>
              <w:spacing w:after="80"/>
              <w:ind w:left="158"/>
              <w:jc w:val="both"/>
              <w:rPr>
                <w:rFonts w:ascii="Goudy Old Style" w:hAnsi="Goudy Old Style"/>
                <w:sz w:val="20"/>
              </w:rPr>
            </w:pPr>
            <w:r>
              <w:rPr>
                <w:rFonts w:ascii="Goudy Old Style" w:hAnsi="Goudy Old Style"/>
                <w:sz w:val="20"/>
              </w:rPr>
              <w:t xml:space="preserve">The insurers denied coverage to </w:t>
            </w:r>
            <w:r w:rsidR="00D27116">
              <w:rPr>
                <w:rFonts w:ascii="Goudy Old Style" w:hAnsi="Goudy Old Style"/>
                <w:sz w:val="20"/>
              </w:rPr>
              <w:t>Fragrances</w:t>
            </w:r>
            <w:r>
              <w:rPr>
                <w:rFonts w:ascii="Goudy Old Style" w:hAnsi="Goudy Old Style"/>
                <w:sz w:val="20"/>
              </w:rPr>
              <w:t xml:space="preserve">.  The insurers took the position that the assignment was a transfer of policy rights that was invalid because it </w:t>
            </w:r>
            <w:r w:rsidR="00D27116">
              <w:rPr>
                <w:rFonts w:ascii="Goudy Old Style" w:hAnsi="Goudy Old Style"/>
                <w:sz w:val="20"/>
              </w:rPr>
              <w:t xml:space="preserve">increased their risk because it </w:t>
            </w:r>
            <w:r>
              <w:rPr>
                <w:rFonts w:ascii="Goudy Old Style" w:hAnsi="Goudy Old Style"/>
                <w:sz w:val="20"/>
              </w:rPr>
              <w:t xml:space="preserve">was not </w:t>
            </w:r>
            <w:r w:rsidR="00D27116">
              <w:rPr>
                <w:rFonts w:ascii="Goudy Old Style" w:hAnsi="Goudy Old Style"/>
                <w:sz w:val="20"/>
              </w:rPr>
              <w:t xml:space="preserve">limited to </w:t>
            </w:r>
            <w:r w:rsidR="008D649E">
              <w:rPr>
                <w:rFonts w:ascii="Goudy Old Style" w:hAnsi="Goudy Old Style"/>
                <w:sz w:val="20"/>
              </w:rPr>
              <w:t>an assignment</w:t>
            </w:r>
            <w:r>
              <w:rPr>
                <w:rFonts w:ascii="Goudy Old Style" w:hAnsi="Goudy Old Style"/>
                <w:sz w:val="20"/>
              </w:rPr>
              <w:t xml:space="preserve"> of </w:t>
            </w:r>
            <w:r w:rsidR="008D649E">
              <w:rPr>
                <w:rFonts w:ascii="Goudy Old Style" w:hAnsi="Goudy Old Style"/>
                <w:sz w:val="20"/>
              </w:rPr>
              <w:t>a right</w:t>
            </w:r>
            <w:r>
              <w:rPr>
                <w:rFonts w:ascii="Goudy Old Style" w:hAnsi="Goudy Old Style"/>
                <w:sz w:val="20"/>
              </w:rPr>
              <w:t xml:space="preserve"> to collect </w:t>
            </w:r>
            <w:r w:rsidR="00EA7AB8">
              <w:rPr>
                <w:rFonts w:ascii="Goudy Old Style" w:hAnsi="Goudy Old Style"/>
                <w:sz w:val="20"/>
              </w:rPr>
              <w:t xml:space="preserve">payment for </w:t>
            </w:r>
            <w:r>
              <w:rPr>
                <w:rFonts w:ascii="Goudy Old Style" w:hAnsi="Goudy Old Style"/>
                <w:sz w:val="20"/>
              </w:rPr>
              <w:t>a fixed liability.</w:t>
            </w:r>
          </w:p>
          <w:p w:rsidR="00AB705C" w:rsidRDefault="00AB705C" w:rsidP="00200CAE">
            <w:pPr>
              <w:spacing w:after="80"/>
              <w:ind w:left="158"/>
              <w:jc w:val="both"/>
              <w:rPr>
                <w:rFonts w:ascii="Goudy Old Style" w:hAnsi="Goudy Old Style"/>
                <w:sz w:val="20"/>
              </w:rPr>
            </w:pPr>
            <w:r>
              <w:rPr>
                <w:rFonts w:ascii="Goudy Old Style" w:hAnsi="Goudy Old Style"/>
                <w:sz w:val="20"/>
              </w:rPr>
              <w:t xml:space="preserve">The Supreme Court </w:t>
            </w:r>
            <w:r w:rsidR="00EA7AB8">
              <w:rPr>
                <w:rFonts w:ascii="Goudy Old Style" w:hAnsi="Goudy Old Style"/>
                <w:sz w:val="20"/>
              </w:rPr>
              <w:t>upheld the transfer</w:t>
            </w:r>
            <w:r w:rsidR="00A17C2E">
              <w:rPr>
                <w:rFonts w:ascii="Goudy Old Style" w:hAnsi="Goudy Old Style"/>
                <w:sz w:val="20"/>
              </w:rPr>
              <w:t xml:space="preserve">, ruling that because the </w:t>
            </w:r>
            <w:r w:rsidR="00EA7AB8">
              <w:rPr>
                <w:rFonts w:ascii="Goudy Old Style" w:hAnsi="Goudy Old Style"/>
                <w:sz w:val="20"/>
              </w:rPr>
              <w:t>CGL</w:t>
            </w:r>
            <w:r w:rsidR="00A17C2E">
              <w:rPr>
                <w:rFonts w:ascii="Goudy Old Style" w:hAnsi="Goudy Old Style"/>
                <w:sz w:val="20"/>
              </w:rPr>
              <w:t xml:space="preserve"> policies were occurrence-based, and because the policies had expired before the assignment of rights took place, the transfer was “an assignment of a post-loss claim.”  The Court also ruled that the fact that damages were not fixed was not </w:t>
            </w:r>
            <w:r w:rsidR="00990FDD">
              <w:rPr>
                <w:rFonts w:ascii="Goudy Old Style" w:hAnsi="Goudy Old Style"/>
                <w:sz w:val="20"/>
              </w:rPr>
              <w:t>material because “</w:t>
            </w:r>
            <w:r w:rsidR="00A17C2E">
              <w:rPr>
                <w:rFonts w:ascii="Goudy Old Style" w:hAnsi="Goudy Old Style"/>
                <w:sz w:val="20"/>
              </w:rPr>
              <w:t xml:space="preserve">the relevant event giving rise to coverage is the loss event, not the entry of a judgment fixing the amount of damage for that loss.”  Because the policies had expired at the time of the assignment, “no new policy coverage for </w:t>
            </w:r>
            <w:r w:rsidR="00B136C2">
              <w:rPr>
                <w:rFonts w:ascii="Goudy Old Style" w:hAnsi="Goudy Old Style"/>
                <w:sz w:val="20"/>
              </w:rPr>
              <w:t xml:space="preserve">[a] </w:t>
            </w:r>
            <w:r w:rsidR="00A17C2E">
              <w:rPr>
                <w:rFonts w:ascii="Goudy Old Style" w:hAnsi="Goudy Old Style"/>
                <w:sz w:val="20"/>
              </w:rPr>
              <w:t xml:space="preserve">not-yet-occurred loss to the assignee was transferred.”  </w:t>
            </w:r>
          </w:p>
          <w:p w:rsidR="00D57353" w:rsidRDefault="00A17C2E" w:rsidP="00A17C2E">
            <w:pPr>
              <w:spacing w:after="80"/>
              <w:ind w:left="158"/>
              <w:jc w:val="both"/>
              <w:rPr>
                <w:rFonts w:ascii="Goudy Old Style" w:hAnsi="Goudy Old Style"/>
                <w:sz w:val="20"/>
              </w:rPr>
            </w:pPr>
            <w:r>
              <w:rPr>
                <w:rFonts w:ascii="Goudy Old Style" w:hAnsi="Goudy Old Style"/>
                <w:sz w:val="20"/>
              </w:rPr>
              <w:t xml:space="preserve">The Court </w:t>
            </w:r>
            <w:r w:rsidR="00D57353">
              <w:rPr>
                <w:rFonts w:ascii="Goudy Old Style" w:hAnsi="Goudy Old Style"/>
                <w:sz w:val="20"/>
              </w:rPr>
              <w:t xml:space="preserve">contrasted the facts of this case with </w:t>
            </w:r>
            <w:r>
              <w:rPr>
                <w:rFonts w:ascii="Goudy Old Style" w:hAnsi="Goudy Old Style"/>
                <w:sz w:val="20"/>
              </w:rPr>
              <w:t>coverage for a loss that had not occurred at the time of the assignment</w:t>
            </w:r>
            <w:r w:rsidR="00D57353">
              <w:rPr>
                <w:rFonts w:ascii="Goudy Old Style" w:hAnsi="Goudy Old Style"/>
                <w:sz w:val="20"/>
              </w:rPr>
              <w:t>.  The latter circumstance</w:t>
            </w:r>
            <w:r>
              <w:rPr>
                <w:rFonts w:ascii="Goudy Old Style" w:hAnsi="Goudy Old Style"/>
                <w:sz w:val="20"/>
              </w:rPr>
              <w:t xml:space="preserve"> would be a transfer of a policy requiring consent from the insurer.  </w:t>
            </w:r>
          </w:p>
          <w:p w:rsidR="00A17C2E" w:rsidRDefault="00A17C2E" w:rsidP="00A17C2E">
            <w:pPr>
              <w:spacing w:after="80"/>
              <w:ind w:left="158"/>
              <w:jc w:val="both"/>
              <w:rPr>
                <w:rFonts w:ascii="Goudy Old Style" w:hAnsi="Goudy Old Style"/>
                <w:sz w:val="20"/>
              </w:rPr>
            </w:pPr>
            <w:r>
              <w:rPr>
                <w:rFonts w:ascii="Goudy Old Style" w:hAnsi="Goudy Old Style"/>
                <w:sz w:val="20"/>
              </w:rPr>
              <w:t xml:space="preserve">Finally, the Court ruled that the </w:t>
            </w:r>
            <w:r w:rsidR="007F66A6">
              <w:rPr>
                <w:rFonts w:ascii="Goudy Old Style" w:hAnsi="Goudy Old Style"/>
                <w:sz w:val="20"/>
              </w:rPr>
              <w:t xml:space="preserve">transfer </w:t>
            </w:r>
            <w:r>
              <w:rPr>
                <w:rFonts w:ascii="Goudy Old Style" w:hAnsi="Goudy Old Style"/>
                <w:sz w:val="20"/>
              </w:rPr>
              <w:t>did not increase the insurers’ potential liability in the remediation litigation because Flavors had transferred all of its rights and therefore no longer had any right to coverage.</w:t>
            </w:r>
            <w:r w:rsidR="007F66A6">
              <w:rPr>
                <w:rFonts w:ascii="Goudy Old Style" w:hAnsi="Goudy Old Style"/>
                <w:sz w:val="20"/>
              </w:rPr>
              <w:t xml:space="preserve">  The Court held that if a valid post-loss claim assignment is made, the duty to defend passes to the assignee as the holder of that claim.</w:t>
            </w:r>
            <w:r>
              <w:rPr>
                <w:rFonts w:ascii="Goudy Old Style" w:hAnsi="Goudy Old Style"/>
                <w:sz w:val="20"/>
              </w:rPr>
              <w:t xml:space="preserve">  Therefore, the insurers </w:t>
            </w:r>
            <w:r w:rsidR="007F66A6">
              <w:rPr>
                <w:rFonts w:ascii="Goudy Old Style" w:hAnsi="Goudy Old Style"/>
                <w:sz w:val="20"/>
              </w:rPr>
              <w:t xml:space="preserve">will </w:t>
            </w:r>
            <w:r>
              <w:rPr>
                <w:rFonts w:ascii="Goudy Old Style" w:hAnsi="Goudy Old Style"/>
                <w:sz w:val="20"/>
              </w:rPr>
              <w:t>have no obligation to defend Flavors even if it later becomes sued in connection with the site remediation.</w:t>
            </w:r>
          </w:p>
          <w:p w:rsidR="007F66A6" w:rsidRPr="008C1B16" w:rsidRDefault="00B30B32" w:rsidP="008D1C1E">
            <w:pPr>
              <w:ind w:left="158"/>
              <w:jc w:val="both"/>
              <w:rPr>
                <w:rFonts w:ascii="Goudy Old Style" w:hAnsi="Goudy Old Style"/>
              </w:rPr>
            </w:pPr>
            <w:r w:rsidRPr="00440ABE">
              <w:rPr>
                <w:rFonts w:ascii="Goudy Old Style" w:hAnsi="Goudy Old Style"/>
                <w:sz w:val="20"/>
              </w:rPr>
              <w:t xml:space="preserve">If you have any </w:t>
            </w:r>
            <w:r w:rsidR="00322F68" w:rsidRPr="00440ABE">
              <w:rPr>
                <w:rFonts w:ascii="Goudy Old Style" w:hAnsi="Goudy Old Style"/>
                <w:sz w:val="20"/>
              </w:rPr>
              <w:t>questions</w:t>
            </w:r>
            <w:r w:rsidRPr="00440ABE">
              <w:rPr>
                <w:rFonts w:ascii="Goudy Old Style" w:hAnsi="Goudy Old Style"/>
                <w:sz w:val="20"/>
              </w:rPr>
              <w:t xml:space="preserve"> </w:t>
            </w:r>
            <w:r w:rsidR="00322F68" w:rsidRPr="00440ABE">
              <w:rPr>
                <w:rFonts w:ascii="Goudy Old Style" w:hAnsi="Goudy Old Style"/>
                <w:sz w:val="20"/>
              </w:rPr>
              <w:t>about</w:t>
            </w:r>
            <w:r w:rsidRPr="00440ABE">
              <w:rPr>
                <w:rFonts w:ascii="Goudy Old Style" w:hAnsi="Goudy Old Style"/>
                <w:sz w:val="20"/>
              </w:rPr>
              <w:t xml:space="preserve"> </w:t>
            </w:r>
            <w:r w:rsidR="00A17C2E">
              <w:rPr>
                <w:rFonts w:ascii="Goudy Old Style" w:hAnsi="Goudy Old Style"/>
                <w:sz w:val="20"/>
                <w:u w:val="single"/>
              </w:rPr>
              <w:t>Givaudan Fragrances Corporation</w:t>
            </w:r>
            <w:r w:rsidR="00C84638">
              <w:rPr>
                <w:rFonts w:ascii="Goudy Old Style" w:hAnsi="Goudy Old Style"/>
                <w:sz w:val="20"/>
              </w:rPr>
              <w:t xml:space="preserve"> </w:t>
            </w:r>
            <w:r w:rsidRPr="00440ABE">
              <w:rPr>
                <w:rFonts w:ascii="Goudy Old Style" w:hAnsi="Goudy Old Style"/>
                <w:sz w:val="20"/>
              </w:rPr>
              <w:t xml:space="preserve">or </w:t>
            </w:r>
            <w:r w:rsidR="00322F68" w:rsidRPr="00440ABE">
              <w:rPr>
                <w:rFonts w:ascii="Goudy Old Style" w:hAnsi="Goudy Old Style"/>
                <w:sz w:val="20"/>
              </w:rPr>
              <w:t xml:space="preserve">questions about </w:t>
            </w:r>
            <w:r w:rsidR="00C84638">
              <w:rPr>
                <w:rFonts w:ascii="Goudy Old Style" w:hAnsi="Goudy Old Style"/>
                <w:sz w:val="20"/>
              </w:rPr>
              <w:t>insurance coverage</w:t>
            </w:r>
            <w:r w:rsidRPr="00440ABE">
              <w:rPr>
                <w:rFonts w:ascii="Goudy Old Style" w:hAnsi="Goudy Old Style"/>
                <w:sz w:val="20"/>
              </w:rPr>
              <w:t xml:space="preserve"> </w:t>
            </w:r>
            <w:r w:rsidR="00322F68" w:rsidRPr="00440ABE">
              <w:rPr>
                <w:rFonts w:ascii="Goudy Old Style" w:hAnsi="Goudy Old Style"/>
                <w:sz w:val="20"/>
              </w:rPr>
              <w:t xml:space="preserve">issues </w:t>
            </w:r>
            <w:r w:rsidR="004603A3">
              <w:rPr>
                <w:rFonts w:ascii="Goudy Old Style" w:hAnsi="Goudy Old Style"/>
                <w:sz w:val="20"/>
              </w:rPr>
              <w:t xml:space="preserve">in </w:t>
            </w:r>
            <w:r w:rsidR="00322F68" w:rsidRPr="00440ABE">
              <w:rPr>
                <w:rFonts w:ascii="Goudy Old Style" w:hAnsi="Goudy Old Style"/>
                <w:sz w:val="20"/>
              </w:rPr>
              <w:t>general</w:t>
            </w:r>
            <w:r w:rsidRPr="00440ABE">
              <w:rPr>
                <w:rFonts w:ascii="Goudy Old Style" w:hAnsi="Goudy Old Style"/>
                <w:sz w:val="20"/>
              </w:rPr>
              <w:t>, pl</w:t>
            </w:r>
            <w:r w:rsidR="00322F68" w:rsidRPr="00440ABE">
              <w:rPr>
                <w:rFonts w:ascii="Goudy Old Style" w:hAnsi="Goudy Old Style"/>
                <w:sz w:val="20"/>
              </w:rPr>
              <w:t>ea</w:t>
            </w:r>
            <w:r w:rsidRPr="00440ABE">
              <w:rPr>
                <w:rFonts w:ascii="Goudy Old Style" w:hAnsi="Goudy Old Style"/>
                <w:sz w:val="20"/>
              </w:rPr>
              <w:t xml:space="preserve">se </w:t>
            </w:r>
            <w:r w:rsidR="00322F68" w:rsidRPr="00440ABE">
              <w:rPr>
                <w:rFonts w:ascii="Goudy Old Style" w:hAnsi="Goudy Old Style"/>
                <w:sz w:val="20"/>
              </w:rPr>
              <w:t>call Tim Smith.</w:t>
            </w:r>
          </w:p>
        </w:tc>
      </w:tr>
    </w:tbl>
    <w:p w:rsidR="00C4451B" w:rsidRPr="00C4451B" w:rsidRDefault="00C84892" w:rsidP="00C86F3D">
      <w:pPr>
        <w:spacing w:before="120" w:after="0"/>
        <w:jc w:val="center"/>
        <w:rPr>
          <w:rFonts w:ascii="Goudy Old Style" w:hAnsi="Goudy Old Style" w:cs="Times New Roman"/>
          <w:smallCaps/>
          <w:sz w:val="28"/>
          <w:szCs w:val="24"/>
        </w:rPr>
      </w:pPr>
      <w:r>
        <w:rPr>
          <w:rFonts w:ascii="Goudy Old Style" w:hAnsi="Goudy Old Style" w:cs="Times New Roman"/>
          <w:smallCaps/>
          <w:sz w:val="28"/>
          <w:szCs w:val="24"/>
        </w:rPr>
        <w:t xml:space="preserve">  </w:t>
      </w:r>
      <w:r w:rsidR="00C4451B" w:rsidRPr="00C4451B">
        <w:rPr>
          <w:rFonts w:ascii="Goudy Old Style" w:hAnsi="Goudy Old Style" w:cs="Times New Roman"/>
          <w:smallCaps/>
          <w:sz w:val="28"/>
          <w:szCs w:val="24"/>
        </w:rPr>
        <w:t>Kinney Lisovicz Reilly &amp; Wolff pc</w:t>
      </w:r>
    </w:p>
    <w:p w:rsidR="00D80492" w:rsidRPr="0003013C" w:rsidRDefault="00D80492" w:rsidP="00200CAE">
      <w:pPr>
        <w:spacing w:after="80" w:line="240" w:lineRule="auto"/>
        <w:ind w:right="360"/>
        <w:jc w:val="both"/>
        <w:rPr>
          <w:rFonts w:ascii="Goudy Old Style" w:hAnsi="Goudy Old Style" w:cs="Times New Roman"/>
          <w:sz w:val="20"/>
          <w:szCs w:val="24"/>
        </w:rPr>
      </w:pPr>
      <w:r w:rsidRPr="0003013C">
        <w:rPr>
          <w:rFonts w:ascii="Goudy Old Style" w:hAnsi="Goudy Old Style" w:cs="Times New Roman"/>
          <w:sz w:val="20"/>
          <w:szCs w:val="24"/>
        </w:rPr>
        <w:t>Kinney Lisovicz Reilly &amp; Wolff PC represent</w:t>
      </w:r>
      <w:r w:rsidR="00006429">
        <w:rPr>
          <w:rFonts w:ascii="Goudy Old Style" w:hAnsi="Goudy Old Style" w:cs="Times New Roman"/>
          <w:sz w:val="20"/>
          <w:szCs w:val="24"/>
        </w:rPr>
        <w:t>s</w:t>
      </w:r>
      <w:r w:rsidRPr="0003013C">
        <w:rPr>
          <w:rFonts w:ascii="Goudy Old Style" w:hAnsi="Goudy Old Style" w:cs="Times New Roman"/>
          <w:sz w:val="20"/>
          <w:szCs w:val="24"/>
        </w:rPr>
        <w:t xml:space="preserve"> clients in federal and state courts and handle</w:t>
      </w:r>
      <w:r w:rsidR="00006429">
        <w:rPr>
          <w:rFonts w:ascii="Goudy Old Style" w:hAnsi="Goudy Old Style" w:cs="Times New Roman"/>
          <w:sz w:val="20"/>
          <w:szCs w:val="24"/>
        </w:rPr>
        <w:t>s</w:t>
      </w:r>
      <w:r w:rsidRPr="0003013C">
        <w:rPr>
          <w:rFonts w:ascii="Goudy Old Style" w:hAnsi="Goudy Old Style" w:cs="Times New Roman"/>
          <w:sz w:val="20"/>
          <w:szCs w:val="24"/>
        </w:rPr>
        <w:t xml:space="preserve"> an extensive variety of matters, including insurance coverage, </w:t>
      </w:r>
      <w:r w:rsidR="00117C36" w:rsidRPr="0003013C">
        <w:rPr>
          <w:rFonts w:ascii="Goudy Old Style" w:hAnsi="Goudy Old Style" w:cs="Times New Roman"/>
          <w:sz w:val="20"/>
          <w:szCs w:val="24"/>
        </w:rPr>
        <w:t xml:space="preserve">civil litigation, premises liability, </w:t>
      </w:r>
      <w:r w:rsidRPr="0003013C">
        <w:rPr>
          <w:rFonts w:ascii="Goudy Old Style" w:hAnsi="Goudy Old Style" w:cs="Times New Roman"/>
          <w:sz w:val="20"/>
          <w:szCs w:val="24"/>
        </w:rPr>
        <w:t xml:space="preserve">product liability, </w:t>
      </w:r>
      <w:r w:rsidR="00117C36" w:rsidRPr="0003013C">
        <w:rPr>
          <w:rFonts w:ascii="Goudy Old Style" w:hAnsi="Goudy Old Style" w:cs="Times New Roman"/>
          <w:sz w:val="20"/>
          <w:szCs w:val="24"/>
        </w:rPr>
        <w:t xml:space="preserve">construction defect, </w:t>
      </w:r>
      <w:r w:rsidRPr="0003013C">
        <w:rPr>
          <w:rFonts w:ascii="Goudy Old Style" w:hAnsi="Goudy Old Style" w:cs="Times New Roman"/>
          <w:sz w:val="20"/>
          <w:szCs w:val="24"/>
        </w:rPr>
        <w:t xml:space="preserve">food-borne illnesses, </w:t>
      </w:r>
      <w:r w:rsidR="00117C36" w:rsidRPr="0003013C">
        <w:rPr>
          <w:rFonts w:ascii="Goudy Old Style" w:hAnsi="Goudy Old Style" w:cs="Times New Roman"/>
          <w:sz w:val="20"/>
          <w:szCs w:val="24"/>
        </w:rPr>
        <w:t xml:space="preserve">toxic exposure, contract and breach of contract, </w:t>
      </w:r>
      <w:r w:rsidRPr="0003013C">
        <w:rPr>
          <w:rFonts w:ascii="Goudy Old Style" w:hAnsi="Goudy Old Style" w:cs="Times New Roman"/>
          <w:sz w:val="20"/>
          <w:szCs w:val="24"/>
        </w:rPr>
        <w:t xml:space="preserve">professional </w:t>
      </w:r>
      <w:r w:rsidR="00117C36" w:rsidRPr="0003013C">
        <w:rPr>
          <w:rFonts w:ascii="Goudy Old Style" w:hAnsi="Goudy Old Style" w:cs="Times New Roman"/>
          <w:sz w:val="20"/>
          <w:szCs w:val="24"/>
        </w:rPr>
        <w:t>liability</w:t>
      </w:r>
      <w:r w:rsidRPr="0003013C">
        <w:rPr>
          <w:rFonts w:ascii="Goudy Old Style" w:hAnsi="Goudy Old Style" w:cs="Times New Roman"/>
          <w:sz w:val="20"/>
          <w:szCs w:val="24"/>
        </w:rPr>
        <w:t xml:space="preserve">, </w:t>
      </w:r>
      <w:r w:rsidR="00117C36" w:rsidRPr="0003013C">
        <w:rPr>
          <w:rFonts w:ascii="Goudy Old Style" w:hAnsi="Goudy Old Style" w:cs="Times New Roman"/>
          <w:sz w:val="20"/>
          <w:szCs w:val="24"/>
        </w:rPr>
        <w:t>employment litigation</w:t>
      </w:r>
      <w:r w:rsidR="00AD0965">
        <w:rPr>
          <w:rFonts w:ascii="Goudy Old Style" w:hAnsi="Goudy Old Style" w:cs="Times New Roman"/>
          <w:sz w:val="20"/>
          <w:szCs w:val="24"/>
        </w:rPr>
        <w:t>,</w:t>
      </w:r>
      <w:r w:rsidR="00117C36" w:rsidRPr="0003013C">
        <w:rPr>
          <w:rFonts w:ascii="Goudy Old Style" w:hAnsi="Goudy Old Style" w:cs="Times New Roman"/>
          <w:sz w:val="20"/>
          <w:szCs w:val="24"/>
        </w:rPr>
        <w:t xml:space="preserve"> </w:t>
      </w:r>
      <w:r w:rsidRPr="0003013C">
        <w:rPr>
          <w:rFonts w:ascii="Goudy Old Style" w:hAnsi="Goudy Old Style" w:cs="Times New Roman"/>
          <w:sz w:val="20"/>
          <w:szCs w:val="24"/>
        </w:rPr>
        <w:t xml:space="preserve">auto and trucking, </w:t>
      </w:r>
      <w:r w:rsidR="00117C36" w:rsidRPr="0003013C">
        <w:rPr>
          <w:rFonts w:ascii="Goudy Old Style" w:hAnsi="Goudy Old Style" w:cs="Times New Roman"/>
          <w:sz w:val="20"/>
          <w:szCs w:val="24"/>
        </w:rPr>
        <w:t xml:space="preserve">criminal defense, </w:t>
      </w:r>
      <w:r w:rsidR="00006429">
        <w:rPr>
          <w:rFonts w:ascii="Goudy Old Style" w:hAnsi="Goudy Old Style" w:cs="Times New Roman"/>
          <w:sz w:val="20"/>
          <w:szCs w:val="24"/>
        </w:rPr>
        <w:t>and appeals.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4675"/>
        <w:gridCol w:w="6035"/>
      </w:tblGrid>
      <w:tr w:rsidR="0003013C" w:rsidRPr="0003013C" w:rsidTr="00490C8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451B" w:rsidRPr="00C86F3D" w:rsidRDefault="00C4451B" w:rsidP="00200CAE">
            <w:pPr>
              <w:pStyle w:val="Heading4"/>
              <w:spacing w:before="0" w:beforeAutospacing="0" w:after="0" w:afterAutospacing="0" w:line="276" w:lineRule="auto"/>
              <w:ind w:right="360"/>
              <w:textAlignment w:val="baseline"/>
              <w:outlineLvl w:val="3"/>
              <w:rPr>
                <w:rFonts w:ascii="Goudy Old Style" w:hAnsi="Goudy Old Style" w:cs="Arial"/>
                <w:b w:val="0"/>
                <w:bCs w:val="0"/>
                <w:sz w:val="20"/>
                <w:szCs w:val="20"/>
              </w:rPr>
            </w:pPr>
            <w:r w:rsidRPr="00C86F3D">
              <w:rPr>
                <w:rFonts w:ascii="Goudy Old Style" w:hAnsi="Goudy Old Style" w:cs="Arial"/>
                <w:b w:val="0"/>
                <w:bCs w:val="0"/>
                <w:sz w:val="20"/>
                <w:szCs w:val="20"/>
              </w:rPr>
              <w:t>New Jersey Office</w:t>
            </w:r>
            <w:r w:rsidR="0003013C" w:rsidRPr="00C86F3D">
              <w:rPr>
                <w:rFonts w:ascii="Goudy Old Style" w:hAnsi="Goudy Old Style" w:cs="Arial"/>
                <w:b w:val="0"/>
                <w:bCs w:val="0"/>
                <w:sz w:val="20"/>
                <w:szCs w:val="20"/>
              </w:rPr>
              <w:t>:</w:t>
            </w:r>
          </w:p>
          <w:p w:rsidR="0003013C" w:rsidRPr="00C86F3D" w:rsidRDefault="00C4451B" w:rsidP="00200CAE">
            <w:pPr>
              <w:pStyle w:val="NormalWeb"/>
              <w:spacing w:before="0" w:beforeAutospacing="0" w:after="0" w:afterAutospacing="0"/>
              <w:ind w:right="360"/>
              <w:textAlignment w:val="baseline"/>
              <w:rPr>
                <w:sz w:val="20"/>
                <w:szCs w:val="20"/>
              </w:rPr>
            </w:pPr>
            <w:r w:rsidRPr="00C86F3D">
              <w:rPr>
                <w:rFonts w:ascii="Goudy Old Style" w:hAnsi="Goudy Old Style" w:cs="Arial"/>
                <w:sz w:val="20"/>
                <w:szCs w:val="20"/>
              </w:rPr>
              <w:t>299 Cherry Hill Road, Suite 300</w:t>
            </w:r>
          </w:p>
          <w:p w:rsidR="0003013C" w:rsidRPr="00C86F3D" w:rsidRDefault="0003013C" w:rsidP="00200CAE">
            <w:pPr>
              <w:pStyle w:val="NormalWeb"/>
              <w:spacing w:before="0" w:beforeAutospacing="0" w:after="0" w:afterAutospacing="0"/>
              <w:ind w:right="360"/>
              <w:textAlignment w:val="baseline"/>
              <w:rPr>
                <w:rFonts w:ascii="Goudy Old Style" w:hAnsi="Goudy Old Style" w:cs="Arial"/>
                <w:sz w:val="20"/>
                <w:szCs w:val="20"/>
              </w:rPr>
            </w:pPr>
            <w:r w:rsidRPr="00C86F3D">
              <w:rPr>
                <w:rFonts w:ascii="Goudy Old Style" w:hAnsi="Goudy Old Style" w:cs="Arial"/>
                <w:sz w:val="20"/>
                <w:szCs w:val="20"/>
              </w:rPr>
              <w:t>P.O. Box 912</w:t>
            </w:r>
          </w:p>
          <w:p w:rsidR="00C4451B" w:rsidRPr="00C86F3D" w:rsidRDefault="00C4451B" w:rsidP="00200CAE">
            <w:pPr>
              <w:pStyle w:val="NormalWeb"/>
              <w:spacing w:before="0" w:beforeAutospacing="0" w:after="0" w:afterAutospacing="0"/>
              <w:ind w:right="360"/>
              <w:textAlignment w:val="baseline"/>
              <w:rPr>
                <w:rFonts w:ascii="Goudy Old Style" w:hAnsi="Goudy Old Style" w:cs="Arial"/>
                <w:sz w:val="20"/>
                <w:szCs w:val="20"/>
              </w:rPr>
            </w:pPr>
            <w:r w:rsidRPr="00C86F3D">
              <w:rPr>
                <w:rFonts w:ascii="Goudy Old Style" w:hAnsi="Goudy Old Style" w:cs="Arial"/>
                <w:sz w:val="20"/>
                <w:szCs w:val="20"/>
              </w:rPr>
              <w:t>Parsippany, New Jersey 07054</w:t>
            </w:r>
          </w:p>
          <w:p w:rsidR="0003013C" w:rsidRPr="00C86F3D" w:rsidRDefault="00C4451B" w:rsidP="00200CAE">
            <w:pPr>
              <w:pStyle w:val="big"/>
              <w:spacing w:before="0" w:beforeAutospacing="0" w:after="0" w:afterAutospacing="0"/>
              <w:ind w:right="360"/>
              <w:textAlignment w:val="baseline"/>
              <w:rPr>
                <w:rFonts w:ascii="Goudy Old Style" w:hAnsi="Goudy Old Style" w:cs="Arial"/>
                <w:sz w:val="20"/>
                <w:szCs w:val="20"/>
              </w:rPr>
            </w:pPr>
            <w:r w:rsidRPr="00C86F3D">
              <w:rPr>
                <w:rFonts w:ascii="Goudy Old Style" w:hAnsi="Goudy Old Style" w:cs="Arial"/>
                <w:sz w:val="20"/>
                <w:szCs w:val="20"/>
              </w:rPr>
              <w:t>Phone:</w:t>
            </w:r>
            <w:r w:rsidR="00C86F3D">
              <w:rPr>
                <w:rStyle w:val="apple-converted-space"/>
              </w:rPr>
              <w:t xml:space="preserve">  </w:t>
            </w:r>
            <w:hyperlink r:id="rId7" w:history="1">
              <w:r w:rsidRPr="00C86F3D">
                <w:rPr>
                  <w:rStyle w:val="Hyperlink"/>
                  <w:rFonts w:ascii="Goudy Old Style" w:hAnsi="Goudy Old Style" w:cs="Arial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973-957-2550</w:t>
              </w:r>
            </w:hyperlink>
          </w:p>
          <w:p w:rsidR="00C4451B" w:rsidRPr="00C86F3D" w:rsidRDefault="00C4451B" w:rsidP="00200CAE">
            <w:pPr>
              <w:pStyle w:val="big"/>
              <w:spacing w:before="0" w:beforeAutospacing="0" w:after="0" w:afterAutospacing="0"/>
              <w:ind w:right="360"/>
              <w:textAlignment w:val="baseline"/>
              <w:rPr>
                <w:rFonts w:ascii="Goudy Old Style" w:hAnsi="Goudy Old Style"/>
                <w:sz w:val="20"/>
                <w:szCs w:val="20"/>
              </w:rPr>
            </w:pPr>
            <w:r w:rsidRPr="00C86F3D">
              <w:rPr>
                <w:rFonts w:ascii="Goudy Old Style" w:hAnsi="Goudy Old Style" w:cs="Arial"/>
                <w:sz w:val="20"/>
                <w:szCs w:val="20"/>
              </w:rPr>
              <w:t>Fax:</w:t>
            </w:r>
            <w:r w:rsidR="00C86F3D">
              <w:rPr>
                <w:rStyle w:val="apple-converted-space"/>
              </w:rPr>
              <w:t xml:space="preserve">  </w:t>
            </w:r>
            <w:hyperlink r:id="rId8" w:history="1">
              <w:r w:rsidRPr="00C86F3D">
                <w:rPr>
                  <w:rStyle w:val="Hyperlink"/>
                  <w:rFonts w:ascii="Goudy Old Style" w:hAnsi="Goudy Old Style" w:cs="Arial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973-710-1054</w:t>
              </w:r>
            </w:hyperlink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D806C5" w:rsidRPr="00C86F3D" w:rsidRDefault="00D806C5" w:rsidP="00200CAE">
            <w:pPr>
              <w:pStyle w:val="Heading4"/>
              <w:spacing w:before="0" w:beforeAutospacing="0" w:after="0" w:afterAutospacing="0" w:line="276" w:lineRule="auto"/>
              <w:ind w:right="75"/>
              <w:jc w:val="right"/>
              <w:textAlignment w:val="baseline"/>
              <w:outlineLvl w:val="3"/>
              <w:rPr>
                <w:rFonts w:ascii="Goudy Old Style" w:hAnsi="Goudy Old Style" w:cs="Arial"/>
                <w:b w:val="0"/>
                <w:bCs w:val="0"/>
                <w:sz w:val="20"/>
                <w:szCs w:val="20"/>
              </w:rPr>
            </w:pPr>
            <w:r w:rsidRPr="00C86F3D">
              <w:rPr>
                <w:rFonts w:ascii="Goudy Old Style" w:hAnsi="Goudy Old Style" w:cs="Arial"/>
                <w:b w:val="0"/>
                <w:bCs w:val="0"/>
                <w:sz w:val="20"/>
                <w:szCs w:val="20"/>
              </w:rPr>
              <w:t>New York Office</w:t>
            </w:r>
            <w:r w:rsidR="0003013C" w:rsidRPr="00C86F3D">
              <w:rPr>
                <w:rFonts w:ascii="Goudy Old Style" w:hAnsi="Goudy Old Style" w:cs="Arial"/>
                <w:b w:val="0"/>
                <w:bCs w:val="0"/>
                <w:sz w:val="20"/>
                <w:szCs w:val="20"/>
              </w:rPr>
              <w:t>:</w:t>
            </w:r>
          </w:p>
          <w:p w:rsidR="0003013C" w:rsidRPr="00C86F3D" w:rsidRDefault="00D806C5" w:rsidP="00200CAE">
            <w:pPr>
              <w:pStyle w:val="NormalWeb"/>
              <w:spacing w:before="0" w:beforeAutospacing="0" w:after="0" w:afterAutospacing="0"/>
              <w:ind w:right="75"/>
              <w:jc w:val="right"/>
              <w:textAlignment w:val="baseline"/>
              <w:rPr>
                <w:rFonts w:ascii="Goudy Old Style" w:hAnsi="Goudy Old Style" w:cs="Arial"/>
                <w:sz w:val="20"/>
                <w:szCs w:val="20"/>
              </w:rPr>
            </w:pPr>
            <w:r w:rsidRPr="00C86F3D">
              <w:rPr>
                <w:rFonts w:ascii="Goudy Old Style" w:hAnsi="Goudy Old Style" w:cs="Arial"/>
                <w:sz w:val="20"/>
                <w:szCs w:val="20"/>
              </w:rPr>
              <w:t>11 Broadway, Suite 615</w:t>
            </w:r>
          </w:p>
          <w:p w:rsidR="00D806C5" w:rsidRPr="00C86F3D" w:rsidRDefault="00D806C5" w:rsidP="00200CAE">
            <w:pPr>
              <w:pStyle w:val="NormalWeb"/>
              <w:spacing w:before="0" w:beforeAutospacing="0" w:after="0" w:afterAutospacing="0"/>
              <w:ind w:right="75"/>
              <w:jc w:val="right"/>
              <w:textAlignment w:val="baseline"/>
              <w:rPr>
                <w:rFonts w:ascii="Goudy Old Style" w:hAnsi="Goudy Old Style" w:cs="Arial"/>
                <w:sz w:val="20"/>
                <w:szCs w:val="20"/>
              </w:rPr>
            </w:pPr>
            <w:r w:rsidRPr="00C86F3D">
              <w:rPr>
                <w:rFonts w:ascii="Goudy Old Style" w:hAnsi="Goudy Old Style" w:cs="Arial"/>
                <w:sz w:val="20"/>
                <w:szCs w:val="20"/>
              </w:rPr>
              <w:t>New York, New York</w:t>
            </w:r>
          </w:p>
          <w:p w:rsidR="00006429" w:rsidRDefault="00D806C5" w:rsidP="00200CAE">
            <w:pPr>
              <w:pStyle w:val="big"/>
              <w:spacing w:before="0" w:beforeAutospacing="0" w:after="0" w:afterAutospacing="0"/>
              <w:ind w:right="75"/>
              <w:jc w:val="right"/>
              <w:textAlignment w:val="baseline"/>
              <w:rPr>
                <w:rFonts w:ascii="Goudy Old Style" w:hAnsi="Goudy Old Style" w:cs="Arial"/>
                <w:sz w:val="20"/>
                <w:szCs w:val="20"/>
                <w:bdr w:val="none" w:sz="0" w:space="0" w:color="auto" w:frame="1"/>
              </w:rPr>
            </w:pPr>
            <w:r w:rsidRPr="00C86F3D">
              <w:rPr>
                <w:rFonts w:ascii="Goudy Old Style" w:hAnsi="Goudy Old Style" w:cs="Arial"/>
                <w:sz w:val="20"/>
                <w:szCs w:val="20"/>
              </w:rPr>
              <w:t>Phone:</w:t>
            </w:r>
            <w:r w:rsidR="00C86F3D">
              <w:rPr>
                <w:rStyle w:val="apple-converted-space"/>
              </w:rPr>
              <w:t xml:space="preserve">  </w:t>
            </w:r>
            <w:r w:rsidRPr="00C86F3D">
              <w:rPr>
                <w:rFonts w:ascii="Goudy Old Style" w:hAnsi="Goudy Old Style" w:cs="Arial"/>
                <w:sz w:val="20"/>
                <w:szCs w:val="20"/>
                <w:bdr w:val="none" w:sz="0" w:space="0" w:color="auto" w:frame="1"/>
              </w:rPr>
              <w:t>646-741-7332</w:t>
            </w:r>
          </w:p>
          <w:p w:rsidR="00C4451B" w:rsidRPr="00C86F3D" w:rsidRDefault="00D806C5" w:rsidP="00200CAE">
            <w:pPr>
              <w:pStyle w:val="big"/>
              <w:spacing w:before="0" w:beforeAutospacing="0" w:after="0" w:afterAutospacing="0"/>
              <w:ind w:right="75"/>
              <w:jc w:val="right"/>
              <w:textAlignment w:val="baseline"/>
              <w:rPr>
                <w:rFonts w:ascii="Goudy Old Style" w:hAnsi="Goudy Old Style"/>
                <w:sz w:val="20"/>
                <w:szCs w:val="20"/>
              </w:rPr>
            </w:pPr>
            <w:r w:rsidRPr="00C86F3D">
              <w:rPr>
                <w:rFonts w:ascii="Goudy Old Style" w:hAnsi="Goudy Old Style" w:cs="Arial"/>
                <w:sz w:val="20"/>
                <w:szCs w:val="20"/>
              </w:rPr>
              <w:t>Fax:</w:t>
            </w:r>
            <w:r w:rsidR="00C86F3D">
              <w:rPr>
                <w:rStyle w:val="apple-converted-space"/>
              </w:rPr>
              <w:t xml:space="preserve">  </w:t>
            </w:r>
            <w:hyperlink r:id="rId9" w:history="1">
              <w:r w:rsidRPr="00C86F3D">
                <w:rPr>
                  <w:rStyle w:val="Hyperlink"/>
                  <w:rFonts w:ascii="Goudy Old Style" w:hAnsi="Goudy Old Style" w:cs="Arial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646-690-8772</w:t>
              </w:r>
            </w:hyperlink>
          </w:p>
        </w:tc>
      </w:tr>
    </w:tbl>
    <w:p w:rsidR="00C4451B" w:rsidRPr="00837830" w:rsidRDefault="00C4451B" w:rsidP="00AD0965">
      <w:pPr>
        <w:spacing w:after="0" w:line="240" w:lineRule="auto"/>
        <w:rPr>
          <w:rFonts w:ascii="Goudy Old Style" w:hAnsi="Goudy Old Style" w:cs="Times New Roman"/>
          <w:sz w:val="2"/>
          <w:szCs w:val="4"/>
        </w:rPr>
      </w:pPr>
    </w:p>
    <w:sectPr w:rsidR="00C4451B" w:rsidRPr="00837830" w:rsidSect="00A17C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EA8" w:rsidRDefault="00A33EA8" w:rsidP="00A33EA8">
      <w:pPr>
        <w:spacing w:after="0" w:line="240" w:lineRule="auto"/>
      </w:pPr>
      <w:r>
        <w:separator/>
      </w:r>
    </w:p>
  </w:endnote>
  <w:endnote w:type="continuationSeparator" w:id="0">
    <w:p w:rsidR="00A33EA8" w:rsidRDefault="00A33EA8" w:rsidP="00A3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35" w:rsidRDefault="00A43B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35" w:rsidRDefault="00A43B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35" w:rsidRDefault="00A43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EA8" w:rsidRDefault="00A33EA8" w:rsidP="00A33EA8">
      <w:pPr>
        <w:spacing w:after="0" w:line="240" w:lineRule="auto"/>
      </w:pPr>
      <w:r>
        <w:separator/>
      </w:r>
    </w:p>
  </w:footnote>
  <w:footnote w:type="continuationSeparator" w:id="0">
    <w:p w:rsidR="00A33EA8" w:rsidRDefault="00A33EA8" w:rsidP="00A3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35" w:rsidRDefault="00A43B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30" w:type="dxa"/>
      <w:tblLook w:val="04A0" w:firstRow="1" w:lastRow="0" w:firstColumn="1" w:lastColumn="0" w:noHBand="0" w:noVBand="1"/>
    </w:tblPr>
    <w:tblGrid>
      <w:gridCol w:w="3600"/>
      <w:gridCol w:w="6930"/>
    </w:tblGrid>
    <w:tr w:rsidR="00204DE5" w:rsidRPr="00785BA3" w:rsidTr="00496321">
      <w:tc>
        <w:tcPr>
          <w:tcW w:w="3600" w:type="dxa"/>
          <w:tcBorders>
            <w:top w:val="nil"/>
            <w:left w:val="nil"/>
            <w:bottom w:val="nil"/>
            <w:right w:val="nil"/>
          </w:tcBorders>
        </w:tcPr>
        <w:p w:rsidR="00204DE5" w:rsidRDefault="00204DE5" w:rsidP="00E04266">
          <w:pPr>
            <w:pStyle w:val="Header"/>
            <w:spacing w:after="60"/>
            <w:jc w:val="center"/>
            <w:rPr>
              <w:rFonts w:ascii="Goudy Old Style" w:hAnsi="Goudy Old Style"/>
              <w:smallCaps/>
            </w:rPr>
          </w:pPr>
          <w:r>
            <w:rPr>
              <w:noProof/>
            </w:rPr>
            <w:drawing>
              <wp:inline distT="0" distB="0" distL="0" distR="0" wp14:anchorId="4574B265" wp14:editId="28ECB73E">
                <wp:extent cx="1581912" cy="512064"/>
                <wp:effectExtent l="0" t="0" r="0" b="2540"/>
                <wp:docPr id="10" name="KLRW_secondarypage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RW_secondarypage.tif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912" cy="512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04DE5" w:rsidRDefault="00A33EA8">
          <w:pPr>
            <w:pStyle w:val="Header"/>
            <w:rPr>
              <w:rFonts w:ascii="Goudy Old Style" w:hAnsi="Goudy Old Style"/>
              <w:smallCaps/>
            </w:rPr>
          </w:pPr>
          <w:r w:rsidRPr="00A33EA8">
            <w:rPr>
              <w:rFonts w:ascii="Goudy Old Style" w:hAnsi="Goudy Old Style"/>
              <w:smallCaps/>
            </w:rPr>
            <w:t>Kinney Lisovicz Reilly &amp; Wolff pc</w:t>
          </w:r>
        </w:p>
      </w:tc>
      <w:tc>
        <w:tcPr>
          <w:tcW w:w="693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04DE5" w:rsidRDefault="00A17C2E" w:rsidP="00A17C2E">
          <w:pPr>
            <w:pStyle w:val="Header"/>
            <w:tabs>
              <w:tab w:val="clear" w:pos="4680"/>
            </w:tabs>
            <w:jc w:val="right"/>
            <w:rPr>
              <w:rFonts w:ascii="Goudy Old Style" w:hAnsi="Goudy Old Style"/>
              <w:smallCaps/>
            </w:rPr>
          </w:pPr>
          <w:r>
            <w:rPr>
              <w:rFonts w:ascii="Goudy Old Style" w:hAnsi="Goudy Old Style"/>
              <w:smallCaps/>
            </w:rPr>
            <w:t>February 1, 2017</w:t>
          </w:r>
        </w:p>
      </w:tc>
    </w:tr>
  </w:tbl>
  <w:p w:rsidR="00953EDB" w:rsidRPr="00953EDB" w:rsidRDefault="00953EDB" w:rsidP="004603A3">
    <w:pPr>
      <w:spacing w:after="120" w:line="240" w:lineRule="auto"/>
      <w:rPr>
        <w:rFonts w:ascii="Goudy Old Style" w:hAnsi="Goudy Old Sty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35" w:rsidRDefault="00A43B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A8"/>
    <w:rsid w:val="00000FD4"/>
    <w:rsid w:val="00006429"/>
    <w:rsid w:val="00006E5A"/>
    <w:rsid w:val="00021C53"/>
    <w:rsid w:val="0002544C"/>
    <w:rsid w:val="0003013C"/>
    <w:rsid w:val="00035989"/>
    <w:rsid w:val="00040D61"/>
    <w:rsid w:val="00053033"/>
    <w:rsid w:val="0007540B"/>
    <w:rsid w:val="000766FE"/>
    <w:rsid w:val="000963B6"/>
    <w:rsid w:val="000E76E5"/>
    <w:rsid w:val="00105B1B"/>
    <w:rsid w:val="0011191E"/>
    <w:rsid w:val="00117C36"/>
    <w:rsid w:val="00127CCF"/>
    <w:rsid w:val="001831FC"/>
    <w:rsid w:val="00193349"/>
    <w:rsid w:val="001B72BC"/>
    <w:rsid w:val="001F1128"/>
    <w:rsid w:val="001F5B66"/>
    <w:rsid w:val="00200CAE"/>
    <w:rsid w:val="00204DE5"/>
    <w:rsid w:val="00263D7E"/>
    <w:rsid w:val="00286FC0"/>
    <w:rsid w:val="00297F62"/>
    <w:rsid w:val="002B7C41"/>
    <w:rsid w:val="00304484"/>
    <w:rsid w:val="00322F68"/>
    <w:rsid w:val="00357DA4"/>
    <w:rsid w:val="003621C4"/>
    <w:rsid w:val="003628A4"/>
    <w:rsid w:val="00365D8D"/>
    <w:rsid w:val="003727C0"/>
    <w:rsid w:val="00394B47"/>
    <w:rsid w:val="003B55A2"/>
    <w:rsid w:val="003D5021"/>
    <w:rsid w:val="00406FDB"/>
    <w:rsid w:val="004344B7"/>
    <w:rsid w:val="00440ABE"/>
    <w:rsid w:val="004603A3"/>
    <w:rsid w:val="00481A7A"/>
    <w:rsid w:val="00490568"/>
    <w:rsid w:val="00490C8B"/>
    <w:rsid w:val="00496321"/>
    <w:rsid w:val="004C3554"/>
    <w:rsid w:val="004D2116"/>
    <w:rsid w:val="004E11E0"/>
    <w:rsid w:val="0050236E"/>
    <w:rsid w:val="0050328A"/>
    <w:rsid w:val="00522A78"/>
    <w:rsid w:val="00545593"/>
    <w:rsid w:val="0054667D"/>
    <w:rsid w:val="00587D78"/>
    <w:rsid w:val="00596326"/>
    <w:rsid w:val="005B0449"/>
    <w:rsid w:val="005C1A3E"/>
    <w:rsid w:val="005C38D1"/>
    <w:rsid w:val="00615A46"/>
    <w:rsid w:val="00625B9C"/>
    <w:rsid w:val="00627553"/>
    <w:rsid w:val="00631349"/>
    <w:rsid w:val="00632E8F"/>
    <w:rsid w:val="00635259"/>
    <w:rsid w:val="006365DC"/>
    <w:rsid w:val="00685447"/>
    <w:rsid w:val="006C3B4B"/>
    <w:rsid w:val="00702BF5"/>
    <w:rsid w:val="007622C7"/>
    <w:rsid w:val="0076285C"/>
    <w:rsid w:val="00765220"/>
    <w:rsid w:val="00766855"/>
    <w:rsid w:val="00780E51"/>
    <w:rsid w:val="00785BA3"/>
    <w:rsid w:val="007A5D51"/>
    <w:rsid w:val="007B3D4A"/>
    <w:rsid w:val="007D0196"/>
    <w:rsid w:val="007D12F6"/>
    <w:rsid w:val="007D2B13"/>
    <w:rsid w:val="007E5373"/>
    <w:rsid w:val="007F66A6"/>
    <w:rsid w:val="008075BF"/>
    <w:rsid w:val="00810338"/>
    <w:rsid w:val="00825197"/>
    <w:rsid w:val="00837830"/>
    <w:rsid w:val="00892F0F"/>
    <w:rsid w:val="008934AF"/>
    <w:rsid w:val="008B707E"/>
    <w:rsid w:val="008C1B16"/>
    <w:rsid w:val="008D1C1E"/>
    <w:rsid w:val="008D649E"/>
    <w:rsid w:val="008D7F24"/>
    <w:rsid w:val="009042C9"/>
    <w:rsid w:val="00912C78"/>
    <w:rsid w:val="00953EDB"/>
    <w:rsid w:val="00956FD4"/>
    <w:rsid w:val="00977A99"/>
    <w:rsid w:val="0098469F"/>
    <w:rsid w:val="00990FDD"/>
    <w:rsid w:val="009C5B59"/>
    <w:rsid w:val="009E4FD5"/>
    <w:rsid w:val="00A03FF3"/>
    <w:rsid w:val="00A17C2E"/>
    <w:rsid w:val="00A24468"/>
    <w:rsid w:val="00A33EA8"/>
    <w:rsid w:val="00A43B35"/>
    <w:rsid w:val="00A75D11"/>
    <w:rsid w:val="00A934FA"/>
    <w:rsid w:val="00AB705C"/>
    <w:rsid w:val="00AC2F0D"/>
    <w:rsid w:val="00AD0965"/>
    <w:rsid w:val="00AD40A9"/>
    <w:rsid w:val="00B111B7"/>
    <w:rsid w:val="00B136C2"/>
    <w:rsid w:val="00B14C5A"/>
    <w:rsid w:val="00B30B32"/>
    <w:rsid w:val="00B50F27"/>
    <w:rsid w:val="00B574B1"/>
    <w:rsid w:val="00B81BE7"/>
    <w:rsid w:val="00B87465"/>
    <w:rsid w:val="00BC43A0"/>
    <w:rsid w:val="00C30E63"/>
    <w:rsid w:val="00C36FA5"/>
    <w:rsid w:val="00C4451B"/>
    <w:rsid w:val="00C44F3A"/>
    <w:rsid w:val="00C474B4"/>
    <w:rsid w:val="00C50A2B"/>
    <w:rsid w:val="00C72017"/>
    <w:rsid w:val="00C84638"/>
    <w:rsid w:val="00C84892"/>
    <w:rsid w:val="00C86DBA"/>
    <w:rsid w:val="00C86F3D"/>
    <w:rsid w:val="00C93C86"/>
    <w:rsid w:val="00CA515D"/>
    <w:rsid w:val="00CA6D57"/>
    <w:rsid w:val="00CC348F"/>
    <w:rsid w:val="00CC36EB"/>
    <w:rsid w:val="00CD00DE"/>
    <w:rsid w:val="00CE4554"/>
    <w:rsid w:val="00D03BAA"/>
    <w:rsid w:val="00D221A4"/>
    <w:rsid w:val="00D27116"/>
    <w:rsid w:val="00D41752"/>
    <w:rsid w:val="00D57353"/>
    <w:rsid w:val="00D80492"/>
    <w:rsid w:val="00D806C5"/>
    <w:rsid w:val="00DD2780"/>
    <w:rsid w:val="00DD39A3"/>
    <w:rsid w:val="00DD492D"/>
    <w:rsid w:val="00E04266"/>
    <w:rsid w:val="00E132BD"/>
    <w:rsid w:val="00E16553"/>
    <w:rsid w:val="00E20374"/>
    <w:rsid w:val="00E70A72"/>
    <w:rsid w:val="00E72DF7"/>
    <w:rsid w:val="00E80890"/>
    <w:rsid w:val="00E907A1"/>
    <w:rsid w:val="00EA484B"/>
    <w:rsid w:val="00EA7AB8"/>
    <w:rsid w:val="00EE665A"/>
    <w:rsid w:val="00F21DF3"/>
    <w:rsid w:val="00F301B1"/>
    <w:rsid w:val="00F73C97"/>
    <w:rsid w:val="00FC262C"/>
    <w:rsid w:val="00FD2D5E"/>
    <w:rsid w:val="00FD4079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8488B3"/>
  <w15:docId w15:val="{5C49CC21-5FD3-4677-B21B-468D1D40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445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EA8"/>
  </w:style>
  <w:style w:type="paragraph" w:styleId="Footer">
    <w:name w:val="footer"/>
    <w:basedOn w:val="Normal"/>
    <w:link w:val="FooterChar"/>
    <w:uiPriority w:val="99"/>
    <w:unhideWhenUsed/>
    <w:rsid w:val="00A33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EA8"/>
  </w:style>
  <w:style w:type="table" w:styleId="TableGrid">
    <w:name w:val="Table Grid"/>
    <w:basedOn w:val="TableNormal"/>
    <w:uiPriority w:val="39"/>
    <w:rsid w:val="0020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B9C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445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451B"/>
  </w:style>
  <w:style w:type="paragraph" w:customStyle="1" w:styleId="big">
    <w:name w:val="big"/>
    <w:basedOn w:val="Normal"/>
    <w:rsid w:val="00C4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973-710-1054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tel:973-957-255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tel:646-690-877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moon/Downloads/KLRW_secondarypage.tif" TargetMode="External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Smith</dc:creator>
  <cp:lastModifiedBy>Tim Smith</cp:lastModifiedBy>
  <cp:revision>2</cp:revision>
  <cp:lastPrinted>2017-02-01T23:39:00Z</cp:lastPrinted>
  <dcterms:created xsi:type="dcterms:W3CDTF">2017-02-07T14:16:00Z</dcterms:created>
  <dcterms:modified xsi:type="dcterms:W3CDTF">2017-02-07T14:16:00Z</dcterms:modified>
</cp:coreProperties>
</file>